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52" w:rsidRDefault="00430A8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Megan Kennedy</w:t>
      </w:r>
    </w:p>
    <w:p w:rsidR="00A15E52" w:rsidRDefault="00430A8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Wisconsin-Madison</w:t>
      </w:r>
    </w:p>
    <w:p w:rsidR="00A15E52" w:rsidRDefault="00A15E5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E52" w:rsidRDefault="00A15E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E52" w:rsidRDefault="00430A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‘Life-Creation’ as Life-Consumption: The Reader as Consumer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Platonov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15E52" w:rsidRDefault="00A15E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E52" w:rsidRDefault="00A15E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E52" w:rsidRDefault="00430A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1920s saw a surge in literacy in the Soviet Union, after Lenin’s introduction in 1919 of the policy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likbez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With the advent of compulsory education and the increased availability of printed material, a new Russian readership emerged. As Party leaders took control of the printing presses immediately after the 1917 revolution, print culture was instrumental in 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tilling new values into the reading public. Contemporaneously, influenced by Futurism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Constructivism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namely, by those critics associated with the journal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LEF</w:t>
      </w:r>
      <w:r>
        <w:rPr>
          <w:rFonts w:ascii="Times New Roman" w:eastAsia="Times New Roman" w:hAnsi="Times New Roman" w:cs="Times New Roman"/>
          <w:sz w:val="24"/>
          <w:szCs w:val="24"/>
        </w:rPr>
        <w:t>), some writers during this time expressed ambivalence towards artistic activity as an end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itself, instead emphasizing the values of “life-creation” and “‘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which called on artists to abandon the ‘easel’ to designing objects capable of bringing about the utopian transformation of the everyday life of the proletariat.”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Perhaps no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 Soviet writer tried to put this philosophy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into practice more naively and sincerely than Andrei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Platonov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yet a close reading of his work reveals a deep pessimism about the power of language to transform culture,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about the abi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lity of the proletariat to fulfill a sort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Fyodorovian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utopian vision by transforming the material world.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Kotlovan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the act of “life-creation” is often depicted in the reverse: rather than art creating life, artistic demands leech the life force from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workers on the foundation pit, as they are engaged in frenzied production (which,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Platonov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was nearly synonymous with artistic activity). This paper hopes to engage with the extensive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Platonov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scholarship on the fraught relationship between man and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material world in his works by interrogating the status of the novel and literary language as material objects, and the role of the reader as consumer of this material. </w:t>
      </w:r>
    </w:p>
    <w:sectPr w:rsidR="00A15E5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8F" w:rsidRDefault="00430A8F">
      <w:pPr>
        <w:spacing w:line="240" w:lineRule="auto"/>
      </w:pPr>
      <w:r>
        <w:separator/>
      </w:r>
    </w:p>
  </w:endnote>
  <w:endnote w:type="continuationSeparator" w:id="0">
    <w:p w:rsidR="00430A8F" w:rsidRDefault="00430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8F" w:rsidRDefault="00430A8F">
      <w:pPr>
        <w:spacing w:line="240" w:lineRule="auto"/>
      </w:pPr>
      <w:r>
        <w:separator/>
      </w:r>
    </w:p>
  </w:footnote>
  <w:footnote w:type="continuationSeparator" w:id="0">
    <w:p w:rsidR="00430A8F" w:rsidRDefault="00430A8F">
      <w:pPr>
        <w:spacing w:line="240" w:lineRule="auto"/>
      </w:pPr>
      <w:r>
        <w:continuationSeparator/>
      </w:r>
    </w:p>
  </w:footnote>
  <w:footnote w:id="1">
    <w:p w:rsidR="00A15E52" w:rsidRDefault="00430A8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Seifrid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Thomas.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Companion to Andrei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Platonov’s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‘The Foundation Pit.’ </w:t>
      </w:r>
      <w:r>
        <w:rPr>
          <w:rFonts w:ascii="Times New Roman" w:eastAsia="Times New Roman" w:hAnsi="Times New Roman" w:cs="Times New Roman"/>
          <w:sz w:val="20"/>
          <w:szCs w:val="20"/>
        </w:rPr>
        <w:t>Academic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tudies Press, 2009, p. 43.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52"/>
    <w:rsid w:val="00430A8F"/>
    <w:rsid w:val="00A15E52"/>
    <w:rsid w:val="00F1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527A7-44F2-4538-903A-97E42FC3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1659</Characters>
  <Application>Microsoft Office Word</Application>
  <DocSecurity>0</DocSecurity>
  <Lines>33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Patron</cp:lastModifiedBy>
  <cp:revision>2</cp:revision>
  <dcterms:created xsi:type="dcterms:W3CDTF">2017-07-01T15:37:00Z</dcterms:created>
  <dcterms:modified xsi:type="dcterms:W3CDTF">2017-07-01T15:37:00Z</dcterms:modified>
</cp:coreProperties>
</file>