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FDC" w:rsidRDefault="00F14FDC" w:rsidP="00F14FD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This paper provides a corpus-based analysis of the case acquisition in heritage Russian. The corpus data comes from second-generation bilingual students with Finnish as a dominant language. Although the students’ proficiency is highly advanced and they regularly attended Russian classes at the University of Helsinki, their written production demonstrates a few regular patterns of case reorganization concerning the non-prepositional Dative and the Genitive noun phrases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dlya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+ NP.</w:t>
      </w:r>
      <w:r w:rsidRPr="001F43FA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GEN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(‘for NP.</w:t>
      </w:r>
      <w:r w:rsidRPr="001F43FA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GEN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Pr="003F5E5A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</w:p>
    <w:p w:rsidR="00F14FDC" w:rsidRPr="003F5E5A" w:rsidRDefault="00F14FDC" w:rsidP="00F14FD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14FDC" w:rsidRPr="001F43FA" w:rsidRDefault="00F14FDC" w:rsidP="00F14FD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F43FA">
        <w:rPr>
          <w:rFonts w:ascii="Arial" w:hAnsi="Arial" w:cs="Arial"/>
          <w:color w:val="000000"/>
          <w:sz w:val="20"/>
          <w:szCs w:val="20"/>
          <w:lang w:val="en-US"/>
        </w:rPr>
        <w:t>Contamination of forms *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dlya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+ </w:t>
      </w:r>
      <w:proofErr w:type="gram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NP.</w:t>
      </w:r>
      <w:r w:rsidRPr="001F43FA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 xml:space="preserve">DAT  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>instead</w:t>
      </w:r>
      <w:proofErr w:type="gram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dlya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+ NP.</w:t>
      </w:r>
      <w:r w:rsidRPr="001F43FA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 xml:space="preserve">GEN </w:t>
      </w:r>
    </w:p>
    <w:p w:rsidR="00F14FDC" w:rsidRPr="001F43FA" w:rsidRDefault="00F14FDC" w:rsidP="00CE41DB">
      <w:pPr>
        <w:pStyle w:val="a3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F43FA">
        <w:rPr>
          <w:rFonts w:ascii="Arial" w:hAnsi="Arial" w:cs="Arial"/>
          <w:color w:val="000000"/>
          <w:sz w:val="20"/>
          <w:szCs w:val="20"/>
          <w:lang w:val="en-US"/>
        </w:rPr>
        <w:t>*</w:t>
      </w:r>
      <w:proofErr w:type="spellStart"/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>dlya</w:t>
      </w:r>
      <w:proofErr w:type="spellEnd"/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>komu</w:t>
      </w:r>
      <w:proofErr w:type="spellEnd"/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-to </w:t>
      </w:r>
      <w:proofErr w:type="spellStart"/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>drugomu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eto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mozhet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byt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3F5E5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vsya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zhizn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’</w:t>
      </w:r>
    </w:p>
    <w:p w:rsidR="00F14FDC" w:rsidRPr="001F43FA" w:rsidRDefault="00F14FDC" w:rsidP="00F14FD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Variation in the case assignment: </w:t>
      </w:r>
    </w:p>
    <w:p w:rsidR="00F14FDC" w:rsidRPr="001F43FA" w:rsidRDefault="00F14FDC" w:rsidP="00CE41DB">
      <w:pPr>
        <w:pStyle w:val="a3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>*</w:t>
      </w:r>
      <w:proofErr w:type="spellStart"/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>dlya</w:t>
      </w:r>
      <w:proofErr w:type="spellEnd"/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>malenkogo</w:t>
      </w:r>
      <w:proofErr w:type="spellEnd"/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>rebenka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F43FA">
        <w:rPr>
          <w:rFonts w:ascii="Arial" w:hAnsi="Arial" w:cs="Arial"/>
          <w:i/>
          <w:color w:val="000000"/>
          <w:sz w:val="20"/>
          <w:szCs w:val="20"/>
          <w:lang w:val="en-US"/>
        </w:rPr>
        <w:t>mne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etot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vid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pokazalsya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slozhnym</w:t>
      </w:r>
      <w:proofErr w:type="spellEnd"/>
    </w:p>
    <w:p w:rsidR="00F14FDC" w:rsidRDefault="00F14FDC" w:rsidP="00F14FD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14FDC" w:rsidRPr="00CF0B64" w:rsidRDefault="00F14FDC" w:rsidP="00F14FD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The studies on heritage </w:t>
      </w:r>
      <w:r>
        <w:rPr>
          <w:rFonts w:ascii="Arial" w:hAnsi="Arial" w:cs="Arial"/>
          <w:color w:val="000000"/>
          <w:sz w:val="20"/>
          <w:szCs w:val="20"/>
          <w:lang w:val="en-US"/>
        </w:rPr>
        <w:t>Russian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Polinsky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 Kagan 2007</w:t>
      </w:r>
      <w:r w:rsidRPr="00CE3D9A">
        <w:rPr>
          <w:rFonts w:ascii="Arial" w:hAnsi="Arial" w:cs="Arial"/>
          <w:color w:val="000000"/>
          <w:sz w:val="20"/>
          <w:szCs w:val="20"/>
          <w:lang w:val="en-US"/>
        </w:rPr>
        <w:t>: 380-381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Pr="00CE3D9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suggest that contaminated forms and variation in the case assignment are a by-product of formal restructuring of the case system and overgeneralization of syntactic conditions. However, the corpus data from highly advanced heritage speakers reveals underlying semantic factors that induce </w:t>
      </w:r>
      <w:r>
        <w:rPr>
          <w:rFonts w:ascii="Arial" w:hAnsi="Arial" w:cs="Arial"/>
          <w:color w:val="000000"/>
          <w:sz w:val="20"/>
          <w:szCs w:val="20"/>
          <w:lang w:val="en-US"/>
        </w:rPr>
        <w:t>grammatical innovations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. The semantic map analysis </w:t>
      </w:r>
      <w:r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Haspelmath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2003</w:t>
      </w:r>
      <w:r w:rsidRPr="003F5E5A">
        <w:rPr>
          <w:rFonts w:ascii="Arial" w:hAnsi="Arial" w:cs="Arial"/>
          <w:color w:val="000000"/>
          <w:sz w:val="20"/>
          <w:szCs w:val="20"/>
          <w:lang w:val="en-US"/>
        </w:rPr>
        <w:t>: 11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Pr="003F5E5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of the competing NPs reveals two trends in the Russian heritage data (Figure 1). First,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dlya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+ NP.</w:t>
      </w:r>
      <w:r w:rsidRPr="001F43FA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GEN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is a productive pattern for coding multifunctional semantic </w:t>
      </w:r>
      <w:r>
        <w:rPr>
          <w:rFonts w:ascii="Arial" w:hAnsi="Arial" w:cs="Arial"/>
          <w:color w:val="000000"/>
          <w:sz w:val="20"/>
          <w:szCs w:val="20"/>
          <w:lang w:val="en-US"/>
        </w:rPr>
        <w:t>gram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F0B64">
        <w:rPr>
          <w:rFonts w:ascii="Arial" w:hAnsi="Arial" w:cs="Arial"/>
          <w:color w:val="000000"/>
          <w:sz w:val="20"/>
          <w:szCs w:val="20"/>
          <w:lang w:val="en-US"/>
        </w:rPr>
        <w:t>re</w:t>
      </w:r>
      <w:r>
        <w:rPr>
          <w:rFonts w:ascii="Arial" w:hAnsi="Arial" w:cs="Arial"/>
          <w:color w:val="000000"/>
          <w:sz w:val="20"/>
          <w:szCs w:val="20"/>
          <w:lang w:val="en-US"/>
        </w:rPr>
        <w:t>cipient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>−</w:t>
      </w:r>
      <w:r>
        <w:rPr>
          <w:rFonts w:ascii="Arial" w:hAnsi="Arial" w:cs="Arial"/>
          <w:color w:val="000000"/>
          <w:sz w:val="20"/>
          <w:szCs w:val="20"/>
          <w:lang w:val="en-US"/>
        </w:rPr>
        <w:t>purpose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>−</w:t>
      </w:r>
      <w:r>
        <w:rPr>
          <w:rFonts w:ascii="Arial" w:hAnsi="Arial" w:cs="Arial"/>
          <w:color w:val="000000"/>
          <w:sz w:val="20"/>
          <w:szCs w:val="20"/>
          <w:lang w:val="en-US"/>
        </w:rPr>
        <w:t>direction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. Second, the variation of the Dative-Genitive NPs has semantic restrictions: non-prepositional Dative NPs only alternate with </w:t>
      </w:r>
      <w:proofErr w:type="spellStart"/>
      <w:r w:rsidRPr="001F43FA">
        <w:rPr>
          <w:rFonts w:ascii="Arial" w:hAnsi="Arial" w:cs="Arial"/>
          <w:color w:val="000000"/>
          <w:sz w:val="20"/>
          <w:szCs w:val="20"/>
          <w:lang w:val="en-US"/>
        </w:rPr>
        <w:t>dlya</w:t>
      </w:r>
      <w:proofErr w:type="spellEnd"/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+ NPs while marking the role of </w:t>
      </w:r>
      <w:r>
        <w:rPr>
          <w:rFonts w:ascii="Arial" w:hAnsi="Arial" w:cs="Arial"/>
          <w:color w:val="000000"/>
          <w:sz w:val="20"/>
          <w:szCs w:val="20"/>
          <w:lang w:val="en-US"/>
        </w:rPr>
        <w:t>recipient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t>-beneficiary-experiencer and never occur in contexts of purpose</w:t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softHyphen/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softHyphen/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softHyphen/>
      </w:r>
      <w:r w:rsidRPr="001F43FA">
        <w:rPr>
          <w:rFonts w:ascii="Arial" w:hAnsi="Arial" w:cs="Arial"/>
          <w:color w:val="000000"/>
          <w:sz w:val="20"/>
          <w:szCs w:val="20"/>
          <w:lang w:val="en-US"/>
        </w:rPr>
        <w:softHyphen/>
        <w:t>−destination. The analysis excluded transfers from the dominant Finnish language.</w:t>
      </w:r>
    </w:p>
    <w:p w:rsidR="00F14FDC" w:rsidRPr="001F43FA" w:rsidRDefault="00F14FDC" w:rsidP="00CE41DB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1F43FA">
        <w:rPr>
          <w:rFonts w:ascii="Arial" w:hAnsi="Arial" w:cs="Arial"/>
          <w:color w:val="000000"/>
          <w:sz w:val="20"/>
          <w:szCs w:val="20"/>
          <w:lang w:val="en-US"/>
        </w:rPr>
        <w:t xml:space="preserve"> Figure 1</w:t>
      </w:r>
    </w:p>
    <w:p w:rsidR="00F14FDC" w:rsidRPr="00CE3D9A" w:rsidRDefault="00F14FDC" w:rsidP="00F14FDC">
      <w:pPr>
        <w:pStyle w:val="a3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3115"/>
        <w:gridCol w:w="3115"/>
      </w:tblGrid>
      <w:tr w:rsidR="00F14FDC" w:rsidRPr="001F43FA" w:rsidTr="00CE41DB">
        <w:trPr>
          <w:trHeight w:val="475"/>
          <w:jc w:val="center"/>
        </w:trPr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43F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1F43F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dlya</w:t>
            </w:r>
            <w:proofErr w:type="spellEnd"/>
            <w:r w:rsidRPr="001F43F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+ NP.</w:t>
            </w:r>
            <w:r w:rsidRPr="001F43FA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val="en-US"/>
              </w:rPr>
              <w:t>GEN</w:t>
            </w:r>
          </w:p>
        </w:tc>
        <w:tc>
          <w:tcPr>
            <w:tcW w:w="311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14FDC" w:rsidRPr="001F43FA" w:rsidTr="00CE41DB">
        <w:trPr>
          <w:trHeight w:val="475"/>
          <w:jc w:val="center"/>
        </w:trPr>
        <w:tc>
          <w:tcPr>
            <w:tcW w:w="2411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14FDC" w:rsidRPr="001F43FA" w:rsidRDefault="00F14FDC" w:rsidP="00232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E7E6E6" w:themeFill="background2"/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5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F14FDC" w:rsidRPr="001F43FA" w:rsidRDefault="00F14FDC" w:rsidP="00232A6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F43FA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Dative </w:t>
            </w:r>
          </w:p>
          <w:p w:rsidR="00F14FDC" w:rsidRPr="001F43FA" w:rsidRDefault="00F14FDC" w:rsidP="00232A62">
            <w:pPr>
              <w:jc w:val="righ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3FA">
              <w:rPr>
                <w:rFonts w:ascii="Arial" w:hAnsi="Arial" w:cs="Arial"/>
                <w:b/>
                <w:sz w:val="20"/>
                <w:szCs w:val="20"/>
                <w:lang w:val="fi-FI"/>
              </w:rPr>
              <w:t>(non-prepositional)</w:t>
            </w:r>
          </w:p>
        </w:tc>
      </w:tr>
      <w:tr w:rsidR="00F14FDC" w:rsidRPr="001F43FA" w:rsidTr="00CE41DB">
        <w:trPr>
          <w:jc w:val="center"/>
        </w:trPr>
        <w:tc>
          <w:tcPr>
            <w:tcW w:w="2411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5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E7E6E6" w:themeFill="background2"/>
          </w:tcPr>
          <w:p w:rsidR="00F14FDC" w:rsidRPr="001F43FA" w:rsidRDefault="00F14FDC" w:rsidP="00232A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3FA">
              <w:rPr>
                <w:rFonts w:ascii="Arial" w:hAnsi="Arial" w:cs="Arial"/>
                <w:sz w:val="20"/>
                <w:szCs w:val="20"/>
                <w:lang w:val="fi-FI"/>
              </w:rPr>
              <w:t xml:space="preserve">recipient </w:t>
            </w:r>
          </w:p>
        </w:tc>
        <w:tc>
          <w:tcPr>
            <w:tcW w:w="311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14FDC" w:rsidRPr="001F43FA" w:rsidTr="00CE41DB">
        <w:trPr>
          <w:jc w:val="center"/>
        </w:trPr>
        <w:tc>
          <w:tcPr>
            <w:tcW w:w="2411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5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E7E6E6" w:themeFill="background2"/>
          </w:tcPr>
          <w:p w:rsidR="00F14FDC" w:rsidRPr="001F43FA" w:rsidRDefault="00F14FDC" w:rsidP="00232A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3FA">
              <w:rPr>
                <w:rFonts w:ascii="Arial" w:hAnsi="Arial" w:cs="Arial"/>
                <w:sz w:val="20"/>
                <w:szCs w:val="20"/>
                <w:lang w:val="fi-FI"/>
              </w:rPr>
              <w:t>beneficiary</w:t>
            </w:r>
          </w:p>
          <w:p w:rsidR="00F14FDC" w:rsidRPr="001F43FA" w:rsidRDefault="00F14FDC" w:rsidP="00232A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3FA">
              <w:rPr>
                <w:rFonts w:ascii="Arial" w:hAnsi="Arial" w:cs="Arial"/>
                <w:sz w:val="20"/>
                <w:szCs w:val="20"/>
                <w:lang w:val="fi-FI"/>
              </w:rPr>
              <w:t>experiencer</w:t>
            </w:r>
          </w:p>
        </w:tc>
        <w:tc>
          <w:tcPr>
            <w:tcW w:w="311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14FDC" w:rsidRPr="001F43FA" w:rsidTr="00CE41DB">
        <w:trPr>
          <w:trHeight w:val="447"/>
          <w:jc w:val="center"/>
        </w:trPr>
        <w:tc>
          <w:tcPr>
            <w:tcW w:w="2411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</w:tcPr>
          <w:p w:rsidR="00F14FDC" w:rsidRPr="001F43FA" w:rsidRDefault="00F14FDC" w:rsidP="00232A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5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14FDC" w:rsidRPr="001F43FA" w:rsidTr="00CE41DB">
        <w:trPr>
          <w:jc w:val="center"/>
        </w:trPr>
        <w:tc>
          <w:tcPr>
            <w:tcW w:w="241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3FA">
              <w:rPr>
                <w:rFonts w:ascii="Arial" w:hAnsi="Arial" w:cs="Arial"/>
                <w:sz w:val="20"/>
                <w:szCs w:val="20"/>
                <w:lang w:val="fi-FI"/>
              </w:rPr>
              <w:t>purpose</w:t>
            </w: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3FA">
              <w:rPr>
                <w:rFonts w:ascii="Arial" w:hAnsi="Arial" w:cs="Arial"/>
                <w:sz w:val="20"/>
                <w:szCs w:val="20"/>
                <w:lang w:val="fi-FI"/>
              </w:rPr>
              <w:t>external possessor</w:t>
            </w:r>
          </w:p>
        </w:tc>
      </w:tr>
      <w:tr w:rsidR="00F14FDC" w:rsidRPr="001F43FA" w:rsidTr="00CE41DB">
        <w:trPr>
          <w:jc w:val="center"/>
        </w:trPr>
        <w:tc>
          <w:tcPr>
            <w:tcW w:w="24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</w:rPr>
            </w:pPr>
            <w:r w:rsidRPr="001F43FA">
              <w:rPr>
                <w:rFonts w:ascii="Arial" w:hAnsi="Arial" w:cs="Arial"/>
                <w:sz w:val="20"/>
                <w:szCs w:val="20"/>
                <w:lang w:val="fi-FI"/>
              </w:rPr>
              <w:t>direction</w:t>
            </w:r>
          </w:p>
        </w:tc>
        <w:tc>
          <w:tcPr>
            <w:tcW w:w="311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14FDC" w:rsidRPr="001F43FA" w:rsidTr="00CE41DB">
        <w:trPr>
          <w:jc w:val="center"/>
        </w:trPr>
        <w:tc>
          <w:tcPr>
            <w:tcW w:w="2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14FDC" w:rsidRPr="001F43FA" w:rsidRDefault="00F14FDC" w:rsidP="00232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CE41DB" w:rsidRDefault="00CE41DB" w:rsidP="00CE41D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E41DB" w:rsidRPr="00F14FDC" w:rsidRDefault="00CE41DB" w:rsidP="00CE41D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References</w:t>
      </w:r>
      <w:bookmarkStart w:id="0" w:name="_GoBack"/>
      <w:bookmarkEnd w:id="0"/>
      <w:r w:rsidRPr="001F43FA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CE3D9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Haspelmath</w:t>
      </w:r>
      <w:proofErr w:type="spellEnd"/>
      <w:r w:rsidRPr="00CE3D9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M. (2003). The geometry of grammatical meaning: Semantic maps and cross-linguistic comparison. </w:t>
      </w:r>
      <w:r w:rsidRPr="00F14FD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The new psychology of language</w:t>
      </w:r>
      <w:r w:rsidRPr="00F14FD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r w:rsidRPr="00F14FD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2</w:t>
      </w:r>
      <w:r w:rsidRPr="00F14FD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(1976), 1-30.</w:t>
      </w:r>
    </w:p>
    <w:p w:rsidR="00CE41DB" w:rsidRDefault="00CE41DB" w:rsidP="00CE41D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CE3D9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Polinsky</w:t>
      </w:r>
      <w:proofErr w:type="spellEnd"/>
      <w:r w:rsidRPr="00CE3D9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M., &amp; Kagan, O. (2007). Heritage languages: In the ‘</w:t>
      </w:r>
      <w:proofErr w:type="spellStart"/>
      <w:r w:rsidRPr="00CE3D9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wild’and</w:t>
      </w:r>
      <w:proofErr w:type="spellEnd"/>
      <w:r w:rsidRPr="00CE3D9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in the classroom.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Language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Linguistics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Compass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368-395.</w:t>
      </w:r>
    </w:p>
    <w:p w:rsidR="00F14FDC" w:rsidRDefault="00F14FDC"/>
    <w:sectPr w:rsidR="00F1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94D47"/>
    <w:multiLevelType w:val="hybridMultilevel"/>
    <w:tmpl w:val="0D002574"/>
    <w:lvl w:ilvl="0" w:tplc="27705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DC"/>
    <w:rsid w:val="00CE41DB"/>
    <w:rsid w:val="00F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0B29"/>
  <w15:chartTrackingRefBased/>
  <w15:docId w15:val="{32FB260F-65D5-4619-AED2-689953F0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1819</Characters>
  <Application>Microsoft Office Word</Application>
  <DocSecurity>0</DocSecurity>
  <Lines>50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name</dc:creator>
  <cp:keywords/>
  <dc:description/>
  <cp:lastModifiedBy>name name</cp:lastModifiedBy>
  <cp:revision>1</cp:revision>
  <dcterms:created xsi:type="dcterms:W3CDTF">2018-06-30T09:27:00Z</dcterms:created>
  <dcterms:modified xsi:type="dcterms:W3CDTF">2018-06-30T09:42:00Z</dcterms:modified>
</cp:coreProperties>
</file>