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8B" w:rsidRDefault="00B54680" w:rsidP="00E54C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Joanna Kot</w:t>
      </w:r>
    </w:p>
    <w:p w:rsidR="005D1123" w:rsidRDefault="005D1123" w:rsidP="00E54C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Northern Illinois University</w:t>
      </w:r>
    </w:p>
    <w:p w:rsidR="00B54680" w:rsidRDefault="00B54680" w:rsidP="00E54CF3">
      <w:pPr>
        <w:pStyle w:val="NoSpacing"/>
        <w:rPr>
          <w:sz w:val="24"/>
          <w:szCs w:val="24"/>
        </w:rPr>
      </w:pPr>
    </w:p>
    <w:p w:rsidR="00B14C7A" w:rsidRDefault="00B14C7A" w:rsidP="007D7E2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NON-RECOGNITION AND </w:t>
      </w:r>
      <w:r w:rsidR="00B54680" w:rsidRPr="007D7E22">
        <w:rPr>
          <w:sz w:val="24"/>
          <w:szCs w:val="24"/>
          <w:u w:val="single"/>
        </w:rPr>
        <w:t>MOURNING</w:t>
      </w:r>
      <w:r>
        <w:rPr>
          <w:sz w:val="24"/>
          <w:szCs w:val="24"/>
          <w:u w:val="single"/>
        </w:rPr>
        <w:t>:</w:t>
      </w:r>
      <w:r w:rsidR="00B54680" w:rsidRPr="007D7E22">
        <w:rPr>
          <w:sz w:val="24"/>
          <w:szCs w:val="24"/>
          <w:u w:val="single"/>
        </w:rPr>
        <w:t xml:space="preserve"> </w:t>
      </w:r>
    </w:p>
    <w:p w:rsidR="00C27851" w:rsidRPr="007D7E22" w:rsidRDefault="00B14C7A" w:rsidP="00B14C7A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</w:t>
      </w:r>
      <w:r w:rsidR="00B54680" w:rsidRPr="007D7E22">
        <w:rPr>
          <w:sz w:val="24"/>
          <w:szCs w:val="24"/>
          <w:u w:val="single"/>
        </w:rPr>
        <w:t>MEANS OF CHANGE</w:t>
      </w:r>
      <w:r>
        <w:rPr>
          <w:sz w:val="24"/>
          <w:szCs w:val="24"/>
          <w:u w:val="single"/>
        </w:rPr>
        <w:t xml:space="preserve"> IN</w:t>
      </w:r>
      <w:r w:rsidR="00C27851" w:rsidRPr="007D7E22">
        <w:rPr>
          <w:sz w:val="24"/>
          <w:szCs w:val="24"/>
          <w:u w:val="single"/>
        </w:rPr>
        <w:t xml:space="preserve"> A FEW POLISH INTER-WAR DRAMAS</w:t>
      </w:r>
    </w:p>
    <w:p w:rsidR="00B54680" w:rsidRDefault="00B54680" w:rsidP="00E54CF3">
      <w:pPr>
        <w:pStyle w:val="NoSpacing"/>
        <w:rPr>
          <w:sz w:val="24"/>
          <w:szCs w:val="24"/>
        </w:rPr>
      </w:pPr>
    </w:p>
    <w:p w:rsidR="005C4835" w:rsidRDefault="00BD4970" w:rsidP="00F75387">
      <w:pPr>
        <w:ind w:firstLine="720"/>
        <w:rPr>
          <w:sz w:val="22"/>
        </w:rPr>
      </w:pPr>
      <w:r>
        <w:rPr>
          <w:sz w:val="22"/>
        </w:rPr>
        <w:t>I</w:t>
      </w:r>
      <w:r w:rsidR="00C27851">
        <w:rPr>
          <w:sz w:val="22"/>
        </w:rPr>
        <w:t xml:space="preserve">n </w:t>
      </w:r>
      <w:r>
        <w:rPr>
          <w:sz w:val="22"/>
        </w:rPr>
        <w:t xml:space="preserve">her </w:t>
      </w:r>
      <w:r w:rsidR="00C27851">
        <w:rPr>
          <w:sz w:val="22"/>
        </w:rPr>
        <w:t xml:space="preserve">recent books </w:t>
      </w:r>
      <w:r w:rsidR="00C27851" w:rsidRPr="00D11635">
        <w:rPr>
          <w:i/>
          <w:sz w:val="22"/>
        </w:rPr>
        <w:t>Undoing Gender</w:t>
      </w:r>
      <w:r w:rsidR="00C27851">
        <w:rPr>
          <w:sz w:val="22"/>
        </w:rPr>
        <w:t xml:space="preserve"> and </w:t>
      </w:r>
      <w:r w:rsidR="00C27851" w:rsidRPr="00D11635">
        <w:rPr>
          <w:i/>
          <w:sz w:val="22"/>
        </w:rPr>
        <w:t>Precarious Life: the Powers of Mourning and Vi</w:t>
      </w:r>
      <w:r w:rsidR="00C27851">
        <w:rPr>
          <w:i/>
          <w:sz w:val="22"/>
        </w:rPr>
        <w:t>o</w:t>
      </w:r>
      <w:r w:rsidR="00C27851" w:rsidRPr="00D11635">
        <w:rPr>
          <w:i/>
          <w:sz w:val="22"/>
        </w:rPr>
        <w:t>lence</w:t>
      </w:r>
      <w:r>
        <w:rPr>
          <w:sz w:val="22"/>
        </w:rPr>
        <w:t xml:space="preserve"> Judith Butler takes a more socio-political approach to “</w:t>
      </w:r>
      <w:proofErr w:type="spellStart"/>
      <w:r>
        <w:rPr>
          <w:sz w:val="22"/>
        </w:rPr>
        <w:t>relationality</w:t>
      </w:r>
      <w:proofErr w:type="spellEnd"/>
      <w:r>
        <w:rPr>
          <w:sz w:val="22"/>
        </w:rPr>
        <w:t>.”</w:t>
      </w:r>
      <w:r w:rsidR="00C27851">
        <w:rPr>
          <w:sz w:val="22"/>
        </w:rPr>
        <w:t xml:space="preserve"> In the</w:t>
      </w:r>
      <w:r w:rsidR="007460C4">
        <w:rPr>
          <w:sz w:val="22"/>
        </w:rPr>
        <w:t xml:space="preserve">se works Butler </w:t>
      </w:r>
      <w:r w:rsidR="00C27851">
        <w:rPr>
          <w:sz w:val="22"/>
        </w:rPr>
        <w:t>stress</w:t>
      </w:r>
      <w:r w:rsidR="007460C4">
        <w:rPr>
          <w:sz w:val="22"/>
        </w:rPr>
        <w:t>es</w:t>
      </w:r>
      <w:r w:rsidR="00C27851">
        <w:rPr>
          <w:sz w:val="22"/>
        </w:rPr>
        <w:t xml:space="preserve"> that recognition depends on cultural and societal norms. These norms sometimes exclude certain categories of people and make them “unrecognizable” and “less than human”.</w:t>
      </w:r>
      <w:r w:rsidR="00C27851">
        <w:rPr>
          <w:rStyle w:val="FootnoteReference"/>
          <w:sz w:val="22"/>
        </w:rPr>
        <w:footnoteReference w:id="1"/>
      </w:r>
      <w:r w:rsidR="007460C4">
        <w:rPr>
          <w:sz w:val="22"/>
        </w:rPr>
        <w:t xml:space="preserve"> H</w:t>
      </w:r>
      <w:r w:rsidR="00C27851">
        <w:rPr>
          <w:sz w:val="22"/>
        </w:rPr>
        <w:t>er emphasis on ethics leads to a desire to change norms, so as to make them more inclusive, and thus make life “</w:t>
      </w:r>
      <w:proofErr w:type="spellStart"/>
      <w:r w:rsidR="00C27851">
        <w:rPr>
          <w:sz w:val="22"/>
        </w:rPr>
        <w:t>liveable</w:t>
      </w:r>
      <w:proofErr w:type="spellEnd"/>
      <w:r w:rsidR="00C27851">
        <w:rPr>
          <w:sz w:val="22"/>
        </w:rPr>
        <w:t>” for all those who are excluded.</w:t>
      </w:r>
      <w:r w:rsidR="00C27851">
        <w:rPr>
          <w:rStyle w:val="FootnoteReference"/>
          <w:sz w:val="22"/>
        </w:rPr>
        <w:footnoteReference w:id="2"/>
      </w:r>
      <w:r w:rsidR="00C27851">
        <w:rPr>
          <w:sz w:val="22"/>
        </w:rPr>
        <w:t xml:space="preserve"> On a more existential level Butler takes up the topic of the role of </w:t>
      </w:r>
      <w:r w:rsidR="00B14C7A">
        <w:rPr>
          <w:sz w:val="22"/>
        </w:rPr>
        <w:t>mourning</w:t>
      </w:r>
      <w:r w:rsidR="00C27851">
        <w:rPr>
          <w:sz w:val="22"/>
        </w:rPr>
        <w:t xml:space="preserve"> in “</w:t>
      </w:r>
      <w:proofErr w:type="spellStart"/>
      <w:r w:rsidR="00C27851">
        <w:rPr>
          <w:sz w:val="22"/>
        </w:rPr>
        <w:t>relationality</w:t>
      </w:r>
      <w:proofErr w:type="spellEnd"/>
      <w:r w:rsidR="00C27851">
        <w:rPr>
          <w:sz w:val="22"/>
        </w:rPr>
        <w:t xml:space="preserve">.” She writes that it is at the moment when the “enmeshment” with the “Other” is broken, </w:t>
      </w:r>
      <w:r w:rsidR="00F75387">
        <w:rPr>
          <w:sz w:val="22"/>
        </w:rPr>
        <w:t xml:space="preserve">and </w:t>
      </w:r>
      <w:r w:rsidR="00C27851">
        <w:rPr>
          <w:sz w:val="22"/>
        </w:rPr>
        <w:t>th</w:t>
      </w:r>
      <w:r w:rsidR="00F75387">
        <w:rPr>
          <w:sz w:val="22"/>
        </w:rPr>
        <w:t>e subject is mourning the breakup of a</w:t>
      </w:r>
      <w:r w:rsidR="00C27851">
        <w:rPr>
          <w:sz w:val="22"/>
        </w:rPr>
        <w:t xml:space="preserve"> relationship, that the subject realizes that it is losing not only the “Other,” but also part of its own identity.</w:t>
      </w:r>
      <w:r w:rsidR="00C27851" w:rsidRPr="00472224">
        <w:rPr>
          <w:rStyle w:val="FootnoteReference"/>
          <w:sz w:val="22"/>
        </w:rPr>
        <w:t xml:space="preserve"> </w:t>
      </w:r>
      <w:r w:rsidR="00C27851">
        <w:rPr>
          <w:rStyle w:val="FootnoteReference"/>
          <w:sz w:val="22"/>
        </w:rPr>
        <w:footnoteReference w:id="3"/>
      </w:r>
      <w:r w:rsidR="00C27851">
        <w:rPr>
          <w:rStyle w:val="FootnoteReference"/>
          <w:sz w:val="22"/>
        </w:rPr>
        <w:t xml:space="preserve"> Interestingly enough, </w:t>
      </w:r>
      <w:r w:rsidR="00243EA9">
        <w:rPr>
          <w:rStyle w:val="FootnoteReference"/>
          <w:sz w:val="22"/>
        </w:rPr>
        <w:t>“non</w:t>
      </w:r>
      <w:r w:rsidR="005D1123">
        <w:rPr>
          <w:rStyle w:val="FootnoteReference"/>
          <w:sz w:val="22"/>
        </w:rPr>
        <w:t>-</w:t>
      </w:r>
      <w:r w:rsidR="00243EA9">
        <w:rPr>
          <w:rStyle w:val="FootnoteReference"/>
          <w:sz w:val="22"/>
        </w:rPr>
        <w:t xml:space="preserve">recognition”, as well as </w:t>
      </w:r>
      <w:r w:rsidR="00C27851">
        <w:rPr>
          <w:rStyle w:val="FootnoteReference"/>
          <w:sz w:val="22"/>
        </w:rPr>
        <w:t xml:space="preserve">grief over broken relationships </w:t>
      </w:r>
      <w:r w:rsidR="00C27851">
        <w:rPr>
          <w:sz w:val="22"/>
        </w:rPr>
        <w:t xml:space="preserve">function as </w:t>
      </w:r>
      <w:r w:rsidR="00C27851">
        <w:rPr>
          <w:rStyle w:val="FootnoteReference"/>
          <w:sz w:val="22"/>
        </w:rPr>
        <w:t>stimul</w:t>
      </w:r>
      <w:r w:rsidR="00243EA9">
        <w:rPr>
          <w:sz w:val="22"/>
        </w:rPr>
        <w:t>i</w:t>
      </w:r>
      <w:r w:rsidR="00C27851">
        <w:rPr>
          <w:rStyle w:val="FootnoteReference"/>
          <w:sz w:val="22"/>
        </w:rPr>
        <w:t xml:space="preserve"> </w:t>
      </w:r>
      <w:r w:rsidR="00062933">
        <w:rPr>
          <w:sz w:val="22"/>
        </w:rPr>
        <w:t>for</w:t>
      </w:r>
      <w:r w:rsidR="00C27851">
        <w:rPr>
          <w:rStyle w:val="FootnoteReference"/>
          <w:sz w:val="22"/>
        </w:rPr>
        <w:t xml:space="preserve"> change </w:t>
      </w:r>
      <w:r>
        <w:rPr>
          <w:rStyle w:val="FootnoteReference"/>
          <w:sz w:val="22"/>
        </w:rPr>
        <w:t xml:space="preserve">and development in a number of plays written by women in Poland during the inter-war period. </w:t>
      </w:r>
      <w:r w:rsidR="00C27851">
        <w:rPr>
          <w:rStyle w:val="FootnoteReference"/>
          <w:sz w:val="22"/>
        </w:rPr>
        <w:t xml:space="preserve">Though the philosophical basis in </w:t>
      </w:r>
      <w:r>
        <w:rPr>
          <w:rStyle w:val="FootnoteReference"/>
          <w:sz w:val="22"/>
        </w:rPr>
        <w:t xml:space="preserve">Zofia </w:t>
      </w:r>
      <w:r w:rsidR="00C27851">
        <w:rPr>
          <w:rStyle w:val="FootnoteReference"/>
          <w:sz w:val="22"/>
        </w:rPr>
        <w:t>Na</w:t>
      </w:r>
      <w:r w:rsidR="00C27851">
        <w:rPr>
          <w:sz w:val="22"/>
        </w:rPr>
        <w:t>ł</w:t>
      </w:r>
      <w:r w:rsidR="00C27851">
        <w:rPr>
          <w:rStyle w:val="FootnoteReference"/>
          <w:sz w:val="22"/>
        </w:rPr>
        <w:t>kowska is</w:t>
      </w:r>
      <w:r w:rsidR="00F75387">
        <w:rPr>
          <w:rStyle w:val="FootnoteReference"/>
          <w:sz w:val="22"/>
        </w:rPr>
        <w:t xml:space="preserve"> certainly not Butler, </w:t>
      </w:r>
      <w:r w:rsidR="00C27851">
        <w:rPr>
          <w:rStyle w:val="FootnoteReference"/>
          <w:sz w:val="22"/>
        </w:rPr>
        <w:t>nevertheless, in</w:t>
      </w:r>
      <w:r>
        <w:rPr>
          <w:rStyle w:val="FootnoteReference"/>
          <w:sz w:val="22"/>
        </w:rPr>
        <w:t xml:space="preserve"> her play</w:t>
      </w:r>
      <w:r w:rsidR="00C27851">
        <w:rPr>
          <w:rStyle w:val="FootnoteReference"/>
          <w:sz w:val="22"/>
        </w:rPr>
        <w:t xml:space="preserve"> </w:t>
      </w:r>
      <w:r w:rsidR="00C27851" w:rsidRPr="00977AC7">
        <w:rPr>
          <w:rStyle w:val="FootnoteReference"/>
          <w:i/>
          <w:sz w:val="22"/>
        </w:rPr>
        <w:t>House of Women</w:t>
      </w:r>
      <w:r>
        <w:rPr>
          <w:rStyle w:val="FootnoteReference"/>
          <w:sz w:val="22"/>
        </w:rPr>
        <w:t>,</w:t>
      </w:r>
      <w:r w:rsidR="00C27851">
        <w:rPr>
          <w:rStyle w:val="FootnoteReference"/>
          <w:sz w:val="22"/>
        </w:rPr>
        <w:t xml:space="preserve"> the author propounds the idea that </w:t>
      </w:r>
      <w:r w:rsidR="00B14C7A">
        <w:rPr>
          <w:sz w:val="22"/>
        </w:rPr>
        <w:t>mo</w:t>
      </w:r>
      <w:r w:rsidR="00F75387">
        <w:rPr>
          <w:sz w:val="22"/>
        </w:rPr>
        <w:t>u</w:t>
      </w:r>
      <w:r w:rsidR="00B14C7A">
        <w:rPr>
          <w:sz w:val="22"/>
        </w:rPr>
        <w:t>rning</w:t>
      </w:r>
      <w:r w:rsidR="00C27851">
        <w:rPr>
          <w:rStyle w:val="FootnoteReference"/>
          <w:sz w:val="22"/>
        </w:rPr>
        <w:t xml:space="preserve"> after the disintegration of a relationship – be it due to death or divorce – brings into relief the reliance of </w:t>
      </w:r>
      <w:r w:rsidR="00C27851">
        <w:rPr>
          <w:sz w:val="22"/>
        </w:rPr>
        <w:t>a</w:t>
      </w:r>
      <w:r w:rsidR="00C27851">
        <w:rPr>
          <w:rStyle w:val="FootnoteReference"/>
          <w:sz w:val="22"/>
        </w:rPr>
        <w:t xml:space="preserve"> character’s identit</w:t>
      </w:r>
      <w:r w:rsidR="00C27851">
        <w:rPr>
          <w:sz w:val="22"/>
        </w:rPr>
        <w:t>y</w:t>
      </w:r>
      <w:r w:rsidR="00C27851">
        <w:rPr>
          <w:rStyle w:val="FootnoteReference"/>
          <w:sz w:val="22"/>
        </w:rPr>
        <w:t xml:space="preserve"> on the “Other</w:t>
      </w:r>
      <w:r w:rsidR="007D7E22">
        <w:rPr>
          <w:rStyle w:val="FootnoteReference"/>
          <w:sz w:val="22"/>
        </w:rPr>
        <w:t>,</w:t>
      </w:r>
      <w:r w:rsidR="00C27851">
        <w:rPr>
          <w:rStyle w:val="FootnoteReference"/>
          <w:sz w:val="22"/>
        </w:rPr>
        <w:t xml:space="preserve">” </w:t>
      </w:r>
      <w:r w:rsidR="00C27851">
        <w:rPr>
          <w:sz w:val="22"/>
        </w:rPr>
        <w:t>as well as</w:t>
      </w:r>
      <w:r w:rsidR="00C27851">
        <w:rPr>
          <w:rStyle w:val="FootnoteReference"/>
          <w:sz w:val="22"/>
        </w:rPr>
        <w:t xml:space="preserve"> the ethical aspects of male/female relationships. </w:t>
      </w:r>
      <w:r w:rsidR="00C27851">
        <w:rPr>
          <w:rStyle w:val="FootnoteReference"/>
          <w:sz w:val="22"/>
        </w:rPr>
        <w:footnoteReference w:id="4"/>
      </w:r>
      <w:r>
        <w:rPr>
          <w:rStyle w:val="FootnoteReference"/>
          <w:sz w:val="22"/>
        </w:rPr>
        <w:t xml:space="preserve"> </w:t>
      </w:r>
      <w:r>
        <w:rPr>
          <w:sz w:val="22"/>
        </w:rPr>
        <w:t xml:space="preserve">Grief sharpens our sensibilities and allows us to see relationships </w:t>
      </w:r>
      <w:r w:rsidR="004C2293">
        <w:rPr>
          <w:sz w:val="22"/>
        </w:rPr>
        <w:t xml:space="preserve">and ourselves </w:t>
      </w:r>
      <w:r w:rsidR="00F75387">
        <w:rPr>
          <w:sz w:val="22"/>
        </w:rPr>
        <w:t>more clearly.</w:t>
      </w:r>
      <w:r w:rsidR="004C2293">
        <w:rPr>
          <w:sz w:val="22"/>
        </w:rPr>
        <w:t xml:space="preserve"> </w:t>
      </w:r>
      <w:r w:rsidR="005C4835">
        <w:rPr>
          <w:sz w:val="22"/>
        </w:rPr>
        <w:t>The situation is somewhat different in</w:t>
      </w:r>
      <w:r>
        <w:rPr>
          <w:sz w:val="22"/>
        </w:rPr>
        <w:t xml:space="preserve"> Maria </w:t>
      </w:r>
      <w:proofErr w:type="spellStart"/>
      <w:r>
        <w:rPr>
          <w:sz w:val="22"/>
        </w:rPr>
        <w:t>Morozowicz</w:t>
      </w:r>
      <w:proofErr w:type="spellEnd"/>
      <w:r>
        <w:rPr>
          <w:sz w:val="22"/>
        </w:rPr>
        <w:t xml:space="preserve">-Szczepkowska’s </w:t>
      </w:r>
      <w:r w:rsidR="005C4835" w:rsidRPr="00682658">
        <w:rPr>
          <w:i/>
          <w:sz w:val="22"/>
        </w:rPr>
        <w:t>Monika’s Case</w:t>
      </w:r>
      <w:r w:rsidR="005C4835">
        <w:rPr>
          <w:sz w:val="22"/>
        </w:rPr>
        <w:t xml:space="preserve">. </w:t>
      </w:r>
      <w:proofErr w:type="spellStart"/>
      <w:r w:rsidR="005C4835">
        <w:rPr>
          <w:sz w:val="22"/>
        </w:rPr>
        <w:t>Here</w:t>
      </w:r>
      <w:proofErr w:type="spellEnd"/>
      <w:r w:rsidR="005C4835">
        <w:rPr>
          <w:sz w:val="22"/>
        </w:rPr>
        <w:t xml:space="preserve"> grief functions only as the initial impulse to change; it is not the means of change. Rather the means is through education, which teaches logical </w:t>
      </w:r>
      <w:r w:rsidR="007460C4">
        <w:rPr>
          <w:sz w:val="22"/>
        </w:rPr>
        <w:t>reasoning</w:t>
      </w:r>
      <w:r w:rsidR="005C4835">
        <w:rPr>
          <w:sz w:val="22"/>
        </w:rPr>
        <w:t xml:space="preserve">, which in turn makes women more like men, in other words, more intelligent, less emotional. Nevertheless, </w:t>
      </w:r>
      <w:r>
        <w:rPr>
          <w:sz w:val="22"/>
        </w:rPr>
        <w:t>th</w:t>
      </w:r>
      <w:r w:rsidR="007460C4">
        <w:rPr>
          <w:sz w:val="22"/>
        </w:rPr>
        <w:t>e heroine’s</w:t>
      </w:r>
      <w:r>
        <w:rPr>
          <w:sz w:val="22"/>
        </w:rPr>
        <w:t xml:space="preserve"> </w:t>
      </w:r>
      <w:r w:rsidR="005C4835">
        <w:rPr>
          <w:sz w:val="22"/>
        </w:rPr>
        <w:t>initial reaction to the news of</w:t>
      </w:r>
      <w:r>
        <w:rPr>
          <w:sz w:val="22"/>
        </w:rPr>
        <w:t xml:space="preserve"> her husband’s</w:t>
      </w:r>
      <w:r w:rsidR="005C4835">
        <w:rPr>
          <w:sz w:val="22"/>
        </w:rPr>
        <w:t xml:space="preserve"> unfaithfulness is one of utter grief: she attempts suicide and exper</w:t>
      </w:r>
      <w:r w:rsidR="007460C4">
        <w:rPr>
          <w:sz w:val="22"/>
        </w:rPr>
        <w:t>iences a raw, emotional outburst</w:t>
      </w:r>
      <w:r w:rsidR="005C4835">
        <w:rPr>
          <w:sz w:val="22"/>
        </w:rPr>
        <w:t xml:space="preserve"> </w:t>
      </w:r>
    </w:p>
    <w:p w:rsidR="00CF3A78" w:rsidRDefault="00243EA9" w:rsidP="00CF3A78">
      <w:pPr>
        <w:rPr>
          <w:sz w:val="22"/>
        </w:rPr>
      </w:pPr>
      <w:r>
        <w:rPr>
          <w:sz w:val="22"/>
        </w:rPr>
        <w:tab/>
        <w:t xml:space="preserve">Non-recognition and </w:t>
      </w:r>
      <w:r w:rsidR="005C4835">
        <w:rPr>
          <w:sz w:val="22"/>
        </w:rPr>
        <w:t>grief</w:t>
      </w:r>
      <w:r w:rsidR="00BD4970">
        <w:rPr>
          <w:sz w:val="22"/>
        </w:rPr>
        <w:t xml:space="preserve"> </w:t>
      </w:r>
      <w:r w:rsidR="005C4835">
        <w:rPr>
          <w:sz w:val="22"/>
        </w:rPr>
        <w:t xml:space="preserve">make </w:t>
      </w:r>
      <w:r>
        <w:rPr>
          <w:sz w:val="22"/>
        </w:rPr>
        <w:t>their</w:t>
      </w:r>
      <w:r w:rsidR="005C4835">
        <w:rPr>
          <w:sz w:val="22"/>
        </w:rPr>
        <w:t xml:space="preserve"> appearance in </w:t>
      </w:r>
      <w:r w:rsidR="00470DDC">
        <w:rPr>
          <w:sz w:val="22"/>
        </w:rPr>
        <w:t xml:space="preserve">Marcelina </w:t>
      </w:r>
      <w:r w:rsidR="005C4835">
        <w:rPr>
          <w:sz w:val="22"/>
        </w:rPr>
        <w:t xml:space="preserve">Grabowska’s </w:t>
      </w:r>
      <w:r w:rsidR="005C4835" w:rsidRPr="00F413AB">
        <w:rPr>
          <w:i/>
          <w:sz w:val="22"/>
        </w:rPr>
        <w:t>“Justice”</w:t>
      </w:r>
      <w:r w:rsidR="00B14C7A">
        <w:rPr>
          <w:sz w:val="22"/>
        </w:rPr>
        <w:t>.</w:t>
      </w:r>
      <w:r w:rsidR="005C4835">
        <w:rPr>
          <w:sz w:val="22"/>
        </w:rPr>
        <w:t xml:space="preserve"> Number 14 grieves and repents genuinely for the child she </w:t>
      </w:r>
      <w:r w:rsidR="00F75387">
        <w:rPr>
          <w:sz w:val="22"/>
        </w:rPr>
        <w:t xml:space="preserve">has </w:t>
      </w:r>
      <w:r w:rsidR="005C4835">
        <w:rPr>
          <w:sz w:val="22"/>
        </w:rPr>
        <w:t xml:space="preserve">killed. </w:t>
      </w:r>
      <w:r>
        <w:rPr>
          <w:sz w:val="22"/>
        </w:rPr>
        <w:t xml:space="preserve">Moreover, the author presents her as one of the “non-recognized”: a poor, uneducated servant </w:t>
      </w:r>
      <w:proofErr w:type="gramStart"/>
      <w:r>
        <w:rPr>
          <w:sz w:val="22"/>
        </w:rPr>
        <w:t>girl,</w:t>
      </w:r>
      <w:proofErr w:type="gramEnd"/>
      <w:r>
        <w:rPr>
          <w:sz w:val="22"/>
        </w:rPr>
        <w:t xml:space="preserve"> treated as an idiot-child by the </w:t>
      </w:r>
      <w:r w:rsidR="00F75387">
        <w:rPr>
          <w:sz w:val="22"/>
        </w:rPr>
        <w:t xml:space="preserve">educated </w:t>
      </w:r>
      <w:r>
        <w:rPr>
          <w:sz w:val="22"/>
        </w:rPr>
        <w:t xml:space="preserve">men </w:t>
      </w:r>
      <w:r w:rsidR="00F75387">
        <w:rPr>
          <w:sz w:val="22"/>
        </w:rPr>
        <w:t>in power</w:t>
      </w:r>
      <w:r>
        <w:rPr>
          <w:sz w:val="22"/>
        </w:rPr>
        <w:t>. Grief is what</w:t>
      </w:r>
      <w:r w:rsidR="005C4835">
        <w:rPr>
          <w:sz w:val="22"/>
        </w:rPr>
        <w:t xml:space="preserve"> make</w:t>
      </w:r>
      <w:r>
        <w:rPr>
          <w:sz w:val="22"/>
        </w:rPr>
        <w:t>s</w:t>
      </w:r>
      <w:r w:rsidR="005C4835">
        <w:rPr>
          <w:sz w:val="22"/>
        </w:rPr>
        <w:t xml:space="preserve"> </w:t>
      </w:r>
      <w:r>
        <w:rPr>
          <w:sz w:val="22"/>
        </w:rPr>
        <w:t>Number</w:t>
      </w:r>
      <w:r w:rsidR="005C4835">
        <w:rPr>
          <w:sz w:val="22"/>
        </w:rPr>
        <w:t xml:space="preserve"> </w:t>
      </w:r>
      <w:r>
        <w:rPr>
          <w:sz w:val="22"/>
        </w:rPr>
        <w:t xml:space="preserve">14 </w:t>
      </w:r>
      <w:r w:rsidR="005C4835">
        <w:rPr>
          <w:sz w:val="22"/>
        </w:rPr>
        <w:t xml:space="preserve">want to keep her second child, </w:t>
      </w:r>
      <w:r>
        <w:rPr>
          <w:sz w:val="22"/>
        </w:rPr>
        <w:t>a</w:t>
      </w:r>
      <w:r w:rsidR="00B14C7A">
        <w:rPr>
          <w:sz w:val="22"/>
        </w:rPr>
        <w:t>n act</w:t>
      </w:r>
      <w:r>
        <w:rPr>
          <w:sz w:val="22"/>
        </w:rPr>
        <w:t xml:space="preserve"> </w:t>
      </w:r>
      <w:r w:rsidR="005C4835">
        <w:rPr>
          <w:sz w:val="22"/>
        </w:rPr>
        <w:t>which she s</w:t>
      </w:r>
      <w:r w:rsidR="00470DDC">
        <w:rPr>
          <w:sz w:val="22"/>
        </w:rPr>
        <w:t xml:space="preserve">ees as a form of expiation. </w:t>
      </w:r>
      <w:r w:rsidR="00B14C7A">
        <w:rPr>
          <w:sz w:val="22"/>
        </w:rPr>
        <w:t>Meanwhile, h</w:t>
      </w:r>
      <w:r w:rsidR="00CF3A78">
        <w:rPr>
          <w:sz w:val="22"/>
        </w:rPr>
        <w:t>e</w:t>
      </w:r>
      <w:r w:rsidR="00B14C7A">
        <w:rPr>
          <w:sz w:val="22"/>
        </w:rPr>
        <w:t>r</w:t>
      </w:r>
      <w:r w:rsidR="00CF3A78">
        <w:rPr>
          <w:sz w:val="22"/>
        </w:rPr>
        <w:t xml:space="preserve"> social situation has sharpened her perspective, given her a sense of irony and developed her moral fiber. I</w:t>
      </w:r>
      <w:r w:rsidR="005C4835">
        <w:rPr>
          <w:sz w:val="22"/>
        </w:rPr>
        <w:t xml:space="preserve">n </w:t>
      </w:r>
      <w:r w:rsidR="00470DDC">
        <w:rPr>
          <w:sz w:val="22"/>
        </w:rPr>
        <w:t xml:space="preserve">Zofia </w:t>
      </w:r>
      <w:r w:rsidR="005C4835">
        <w:rPr>
          <w:sz w:val="22"/>
        </w:rPr>
        <w:t xml:space="preserve">Rylska’s </w:t>
      </w:r>
      <w:r w:rsidR="005C4835" w:rsidRPr="00F413AB">
        <w:rPr>
          <w:i/>
          <w:sz w:val="22"/>
        </w:rPr>
        <w:t>The Deep at Zimna</w:t>
      </w:r>
      <w:r w:rsidR="005C4835">
        <w:rPr>
          <w:sz w:val="22"/>
        </w:rPr>
        <w:t xml:space="preserve"> it is a man who experiences grief and above all repent</w:t>
      </w:r>
      <w:r w:rsidR="00470DDC">
        <w:rPr>
          <w:sz w:val="22"/>
        </w:rPr>
        <w:t>a</w:t>
      </w:r>
      <w:r w:rsidR="005C4835">
        <w:rPr>
          <w:sz w:val="22"/>
        </w:rPr>
        <w:t xml:space="preserve">nce. </w:t>
      </w:r>
      <w:r w:rsidR="00CF3A78">
        <w:rPr>
          <w:sz w:val="22"/>
        </w:rPr>
        <w:t>T</w:t>
      </w:r>
      <w:r w:rsidR="007D7E22">
        <w:rPr>
          <w:sz w:val="22"/>
        </w:rPr>
        <w:t xml:space="preserve">he old fisherman, </w:t>
      </w:r>
      <w:r w:rsidR="005C4835">
        <w:rPr>
          <w:sz w:val="22"/>
        </w:rPr>
        <w:t xml:space="preserve">Łuka genuinely believes in God and </w:t>
      </w:r>
      <w:r w:rsidR="00CF3A78">
        <w:rPr>
          <w:sz w:val="22"/>
        </w:rPr>
        <w:t>yet long ago he committed a murder. E</w:t>
      </w:r>
      <w:r w:rsidR="006B1FAB">
        <w:rPr>
          <w:sz w:val="22"/>
        </w:rPr>
        <w:t xml:space="preserve">ver since </w:t>
      </w:r>
      <w:r w:rsidR="007D7E22">
        <w:rPr>
          <w:sz w:val="22"/>
        </w:rPr>
        <w:t>the</w:t>
      </w:r>
      <w:r w:rsidR="00CF3A78">
        <w:rPr>
          <w:sz w:val="22"/>
        </w:rPr>
        <w:t>n</w:t>
      </w:r>
      <w:r w:rsidR="006B1FAB">
        <w:rPr>
          <w:sz w:val="22"/>
        </w:rPr>
        <w:t xml:space="preserve">, he has lived in a state of grief and </w:t>
      </w:r>
      <w:r w:rsidR="007D7E22">
        <w:rPr>
          <w:sz w:val="22"/>
        </w:rPr>
        <w:t>repentance</w:t>
      </w:r>
      <w:r w:rsidR="005D1123">
        <w:rPr>
          <w:sz w:val="22"/>
        </w:rPr>
        <w:t>,</w:t>
      </w:r>
      <w:r w:rsidR="004C2293">
        <w:rPr>
          <w:sz w:val="22"/>
        </w:rPr>
        <w:t xml:space="preserve"> </w:t>
      </w:r>
      <w:r w:rsidR="005D1123">
        <w:rPr>
          <w:sz w:val="22"/>
        </w:rPr>
        <w:t xml:space="preserve">a state </w:t>
      </w:r>
      <w:r w:rsidR="004C2293">
        <w:rPr>
          <w:sz w:val="22"/>
        </w:rPr>
        <w:t xml:space="preserve">that has made him more sensitive to the </w:t>
      </w:r>
      <w:r w:rsidR="006B1FAB">
        <w:rPr>
          <w:sz w:val="22"/>
        </w:rPr>
        <w:t>emotion</w:t>
      </w:r>
      <w:r w:rsidR="004C2293">
        <w:rPr>
          <w:sz w:val="22"/>
        </w:rPr>
        <w:t>al condition</w:t>
      </w:r>
      <w:r w:rsidR="006B1FAB">
        <w:rPr>
          <w:sz w:val="22"/>
        </w:rPr>
        <w:t xml:space="preserve"> of others. </w:t>
      </w:r>
      <w:r w:rsidR="004C2293">
        <w:rPr>
          <w:sz w:val="22"/>
        </w:rPr>
        <w:t>In short, t</w:t>
      </w:r>
      <w:r w:rsidR="00F75387">
        <w:rPr>
          <w:sz w:val="22"/>
        </w:rPr>
        <w:t>he</w:t>
      </w:r>
      <w:r w:rsidR="00CF3A78">
        <w:rPr>
          <w:sz w:val="22"/>
        </w:rPr>
        <w:t xml:space="preserve"> paper traces how Butler’s </w:t>
      </w:r>
      <w:r w:rsidR="007460C4">
        <w:rPr>
          <w:sz w:val="22"/>
        </w:rPr>
        <w:t>social/</w:t>
      </w:r>
      <w:r w:rsidR="00CF3A78">
        <w:rPr>
          <w:sz w:val="22"/>
        </w:rPr>
        <w:t xml:space="preserve">existential </w:t>
      </w:r>
      <w:r w:rsidR="007460C4">
        <w:rPr>
          <w:sz w:val="22"/>
        </w:rPr>
        <w:t>conditions</w:t>
      </w:r>
      <w:r w:rsidR="00CF3A78">
        <w:rPr>
          <w:sz w:val="22"/>
        </w:rPr>
        <w:t xml:space="preserve"> of “non-recognition” and </w:t>
      </w:r>
      <w:r w:rsidR="00B14C7A">
        <w:rPr>
          <w:sz w:val="22"/>
        </w:rPr>
        <w:t>mourning</w:t>
      </w:r>
      <w:r w:rsidR="00CF3A78">
        <w:rPr>
          <w:sz w:val="22"/>
        </w:rPr>
        <w:t xml:space="preserve"> appear in a number of Polish </w:t>
      </w:r>
      <w:proofErr w:type="gramStart"/>
      <w:r w:rsidR="00CF3A78">
        <w:rPr>
          <w:sz w:val="22"/>
        </w:rPr>
        <w:t>inter-war</w:t>
      </w:r>
      <w:proofErr w:type="gramEnd"/>
      <w:r w:rsidR="00CF3A78">
        <w:rPr>
          <w:sz w:val="22"/>
        </w:rPr>
        <w:t xml:space="preserve"> </w:t>
      </w:r>
      <w:r w:rsidR="005D1123">
        <w:rPr>
          <w:sz w:val="22"/>
        </w:rPr>
        <w:t>women’s plays</w:t>
      </w:r>
      <w:r w:rsidR="00CF3A78">
        <w:rPr>
          <w:sz w:val="22"/>
        </w:rPr>
        <w:t xml:space="preserve">. </w:t>
      </w:r>
      <w:r w:rsidR="007460C4">
        <w:rPr>
          <w:sz w:val="22"/>
        </w:rPr>
        <w:t>I</w:t>
      </w:r>
      <w:r w:rsidR="00CF3A78">
        <w:rPr>
          <w:sz w:val="22"/>
        </w:rPr>
        <w:t xml:space="preserve">n </w:t>
      </w:r>
      <w:r w:rsidR="007460C4">
        <w:rPr>
          <w:sz w:val="22"/>
        </w:rPr>
        <w:t xml:space="preserve">all of </w:t>
      </w:r>
      <w:r w:rsidR="00CF3A78">
        <w:rPr>
          <w:sz w:val="22"/>
        </w:rPr>
        <w:t xml:space="preserve">the works, </w:t>
      </w:r>
      <w:r w:rsidR="004C2293">
        <w:rPr>
          <w:sz w:val="22"/>
        </w:rPr>
        <w:t>“non-recognition” and grief</w:t>
      </w:r>
      <w:r w:rsidR="007460C4">
        <w:rPr>
          <w:sz w:val="22"/>
        </w:rPr>
        <w:t xml:space="preserve"> </w:t>
      </w:r>
      <w:r w:rsidR="00CF3A78">
        <w:rPr>
          <w:sz w:val="22"/>
        </w:rPr>
        <w:t xml:space="preserve">play an important </w:t>
      </w:r>
      <w:r w:rsidR="004C2293">
        <w:rPr>
          <w:sz w:val="22"/>
        </w:rPr>
        <w:t>role</w:t>
      </w:r>
      <w:r w:rsidR="007460C4">
        <w:rPr>
          <w:sz w:val="22"/>
        </w:rPr>
        <w:t xml:space="preserve"> in helping a </w:t>
      </w:r>
      <w:r w:rsidR="00CF3A78">
        <w:rPr>
          <w:sz w:val="22"/>
        </w:rPr>
        <w:t>character</w:t>
      </w:r>
      <w:r w:rsidR="007460C4">
        <w:rPr>
          <w:sz w:val="22"/>
        </w:rPr>
        <w:t xml:space="preserve"> or characters change and</w:t>
      </w:r>
      <w:r w:rsidR="00CF3A78">
        <w:rPr>
          <w:sz w:val="22"/>
        </w:rPr>
        <w:t xml:space="preserve"> develop.</w:t>
      </w:r>
    </w:p>
    <w:p w:rsidR="00CF3A78" w:rsidRDefault="00CF3A78" w:rsidP="006B1FAB">
      <w:pPr>
        <w:spacing w:line="480" w:lineRule="auto"/>
        <w:rPr>
          <w:sz w:val="22"/>
        </w:rPr>
      </w:pPr>
    </w:p>
    <w:p w:rsidR="005C4835" w:rsidRPr="00E54CF3" w:rsidRDefault="005C4835" w:rsidP="00E54CF3">
      <w:pPr>
        <w:pStyle w:val="NoSpacing"/>
        <w:rPr>
          <w:sz w:val="24"/>
          <w:szCs w:val="24"/>
        </w:rPr>
      </w:pPr>
    </w:p>
    <w:sectPr w:rsidR="005C4835" w:rsidRPr="00E54CF3" w:rsidSect="0009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16" w:rsidRDefault="00180B16" w:rsidP="00C27851">
      <w:r>
        <w:separator/>
      </w:r>
    </w:p>
  </w:endnote>
  <w:endnote w:type="continuationSeparator" w:id="0">
    <w:p w:rsidR="00180B16" w:rsidRDefault="00180B16" w:rsidP="00C2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16" w:rsidRDefault="00180B16" w:rsidP="00C27851">
      <w:r>
        <w:separator/>
      </w:r>
    </w:p>
  </w:footnote>
  <w:footnote w:type="continuationSeparator" w:id="0">
    <w:p w:rsidR="00180B16" w:rsidRDefault="00180B16" w:rsidP="00C27851">
      <w:r>
        <w:continuationSeparator/>
      </w:r>
    </w:p>
  </w:footnote>
  <w:footnote w:id="1">
    <w:p w:rsidR="00C27851" w:rsidRDefault="00C27851" w:rsidP="00C27851">
      <w:pPr>
        <w:pStyle w:val="FootnoteText"/>
      </w:pPr>
      <w:r>
        <w:rPr>
          <w:rStyle w:val="FootnoteReference"/>
        </w:rPr>
        <w:footnoteRef/>
      </w:r>
      <w:r w:rsidR="006F5B40">
        <w:t xml:space="preserve">Judith </w:t>
      </w:r>
      <w:r>
        <w:t>Butler</w:t>
      </w:r>
      <w:r w:rsidR="006F5B40">
        <w:t>.</w:t>
      </w:r>
      <w:r>
        <w:t xml:space="preserve"> 2004</w:t>
      </w:r>
      <w:r w:rsidR="006F5B40">
        <w:t xml:space="preserve">. </w:t>
      </w:r>
      <w:r w:rsidR="006F5B40" w:rsidRPr="006F5B40">
        <w:rPr>
          <w:i/>
        </w:rPr>
        <w:t>Precarious Life: the Powers of Mourning and Violence</w:t>
      </w:r>
      <w:r w:rsidR="006F5B40">
        <w:t>. London/New York: Verso, p. 33</w:t>
      </w:r>
      <w:r>
        <w:t xml:space="preserve"> and </w:t>
      </w:r>
      <w:r w:rsidR="006F5B40">
        <w:t xml:space="preserve">Judith </w:t>
      </w:r>
      <w:r>
        <w:t>Butler</w:t>
      </w:r>
      <w:r w:rsidR="006F5B40">
        <w:t>.</w:t>
      </w:r>
      <w:r>
        <w:t xml:space="preserve"> 2004</w:t>
      </w:r>
      <w:r w:rsidR="006F5B40">
        <w:t xml:space="preserve">. </w:t>
      </w:r>
      <w:r w:rsidR="006F5B40" w:rsidRPr="006F5B40">
        <w:rPr>
          <w:i/>
        </w:rPr>
        <w:t>Undoing Gender</w:t>
      </w:r>
      <w:r w:rsidR="006F5B40">
        <w:t xml:space="preserve">. New York: </w:t>
      </w:r>
      <w:proofErr w:type="spellStart"/>
      <w:r w:rsidR="006F5B40">
        <w:t>Routledge</w:t>
      </w:r>
      <w:proofErr w:type="spellEnd"/>
      <w:r w:rsidR="006F5B40">
        <w:t>, p. 2</w:t>
      </w:r>
      <w:r>
        <w:t xml:space="preserve">. </w:t>
      </w:r>
    </w:p>
  </w:footnote>
  <w:footnote w:id="2">
    <w:p w:rsidR="00C27851" w:rsidRPr="006F5B40" w:rsidRDefault="00C27851" w:rsidP="00C27851">
      <w:pPr>
        <w:pStyle w:val="FootnoteText"/>
      </w:pPr>
      <w:r>
        <w:rPr>
          <w:rStyle w:val="FootnoteReference"/>
        </w:rPr>
        <w:footnoteRef/>
      </w:r>
      <w:r w:rsidRPr="006F5B40">
        <w:t xml:space="preserve"> Butler, 2004b, 224-225.</w:t>
      </w:r>
    </w:p>
  </w:footnote>
  <w:footnote w:id="3">
    <w:p w:rsidR="00C27851" w:rsidRPr="006F5B40" w:rsidRDefault="00C27851" w:rsidP="00C27851">
      <w:pPr>
        <w:pStyle w:val="FootnoteText"/>
      </w:pPr>
      <w:r>
        <w:rPr>
          <w:rStyle w:val="FootnoteReference"/>
        </w:rPr>
        <w:footnoteRef/>
      </w:r>
      <w:r w:rsidRPr="006F5B40">
        <w:t xml:space="preserve"> </w:t>
      </w:r>
      <w:proofErr w:type="gramStart"/>
      <w:r w:rsidRPr="006F5B40">
        <w:t>Butler, 2004b, 22.</w:t>
      </w:r>
      <w:proofErr w:type="gramEnd"/>
    </w:p>
  </w:footnote>
  <w:footnote w:id="4">
    <w:p w:rsidR="00C27851" w:rsidRPr="006F5B40" w:rsidRDefault="00C27851" w:rsidP="00C27851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6F5B40">
        <w:t xml:space="preserve"> </w:t>
      </w:r>
      <w:proofErr w:type="spellStart"/>
      <w:r w:rsidR="006F5B40">
        <w:t>Ewa</w:t>
      </w:r>
      <w:proofErr w:type="spellEnd"/>
      <w:r w:rsidR="006F5B40">
        <w:t xml:space="preserve"> </w:t>
      </w:r>
      <w:proofErr w:type="spellStart"/>
      <w:r w:rsidRPr="006F5B40">
        <w:t>Kraskowska</w:t>
      </w:r>
      <w:proofErr w:type="spellEnd"/>
      <w:r w:rsidR="006F5B40">
        <w:t>.</w:t>
      </w:r>
      <w:r w:rsidRPr="006F5B40">
        <w:t xml:space="preserve"> </w:t>
      </w:r>
      <w:r w:rsidRPr="006F5B40">
        <w:rPr>
          <w:lang w:val="pl-PL"/>
        </w:rPr>
        <w:t>1999</w:t>
      </w:r>
      <w:r w:rsidR="006F5B40" w:rsidRPr="006F5B40">
        <w:rPr>
          <w:lang w:val="pl-PL"/>
        </w:rPr>
        <w:t xml:space="preserve">. </w:t>
      </w:r>
      <w:r w:rsidR="006F5B40" w:rsidRPr="006F5B40">
        <w:rPr>
          <w:i/>
          <w:lang w:val="pl-PL"/>
        </w:rPr>
        <w:t>Zofia Nałkowska</w:t>
      </w:r>
      <w:r w:rsidR="006F5B40">
        <w:rPr>
          <w:lang w:val="pl-PL"/>
        </w:rPr>
        <w:t>. Poznań: Dom Wydawniczy Rebis</w:t>
      </w:r>
      <w:r w:rsidRPr="006F5B40">
        <w:rPr>
          <w:lang w:val="pl-PL"/>
        </w:rPr>
        <w:t>, pp. 50-65.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CF3"/>
    <w:rsid w:val="00062933"/>
    <w:rsid w:val="0009798B"/>
    <w:rsid w:val="000F237F"/>
    <w:rsid w:val="00180B16"/>
    <w:rsid w:val="00243EA9"/>
    <w:rsid w:val="002A37EA"/>
    <w:rsid w:val="00412453"/>
    <w:rsid w:val="00470DDC"/>
    <w:rsid w:val="004C13CA"/>
    <w:rsid w:val="004C2293"/>
    <w:rsid w:val="004D30BB"/>
    <w:rsid w:val="005C4835"/>
    <w:rsid w:val="005D1123"/>
    <w:rsid w:val="005D7FC8"/>
    <w:rsid w:val="005E2FFB"/>
    <w:rsid w:val="005E5938"/>
    <w:rsid w:val="006B1FAB"/>
    <w:rsid w:val="006F5B40"/>
    <w:rsid w:val="00702278"/>
    <w:rsid w:val="007460C4"/>
    <w:rsid w:val="007B0611"/>
    <w:rsid w:val="007D7E22"/>
    <w:rsid w:val="00835E48"/>
    <w:rsid w:val="009E55B5"/>
    <w:rsid w:val="00B14C7A"/>
    <w:rsid w:val="00B33EF1"/>
    <w:rsid w:val="00B54680"/>
    <w:rsid w:val="00BD4970"/>
    <w:rsid w:val="00C27851"/>
    <w:rsid w:val="00C30A18"/>
    <w:rsid w:val="00CF3A78"/>
    <w:rsid w:val="00E54CF3"/>
    <w:rsid w:val="00F75387"/>
    <w:rsid w:val="00F9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CF3"/>
    <w:pPr>
      <w:spacing w:after="0" w:line="240" w:lineRule="auto"/>
    </w:pPr>
  </w:style>
  <w:style w:type="character" w:styleId="FootnoteReference">
    <w:name w:val="footnote reference"/>
    <w:semiHidden/>
    <w:rsid w:val="00C27851"/>
  </w:style>
  <w:style w:type="paragraph" w:styleId="FootnoteText">
    <w:name w:val="footnote text"/>
    <w:basedOn w:val="Normal"/>
    <w:link w:val="FootnoteTextChar"/>
    <w:semiHidden/>
    <w:rsid w:val="00C2785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7851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2013-04-16T02:31:00Z</dcterms:created>
  <dcterms:modified xsi:type="dcterms:W3CDTF">2013-04-16T02:31:00Z</dcterms:modified>
</cp:coreProperties>
</file>